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3B788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3B788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3B78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3B788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3B788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3B788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75656254" w:rsidR="00546DB1" w:rsidRPr="00546DB1" w:rsidRDefault="00136713" w:rsidP="00AB56F9">
                <w:pPr>
                  <w:tabs>
                    <w:tab w:val="left" w:pos="426"/>
                  </w:tabs>
                  <w:spacing w:before="120"/>
                  <w:rPr>
                    <w:bCs/>
                    <w:lang w:val="en-IE" w:eastAsia="en-GB"/>
                  </w:rPr>
                </w:pPr>
                <w:r>
                  <w:rPr>
                    <w:bCs/>
                    <w:lang w:eastAsia="en-GB"/>
                  </w:rPr>
                  <w:t>INTPA-F-3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1DF722E1" w:rsidR="00546DB1" w:rsidRPr="003B2E38" w:rsidRDefault="000B0388" w:rsidP="00AB56F9">
                <w:pPr>
                  <w:tabs>
                    <w:tab w:val="left" w:pos="426"/>
                  </w:tabs>
                  <w:spacing w:before="120"/>
                  <w:rPr>
                    <w:bCs/>
                    <w:lang w:val="en-IE" w:eastAsia="en-GB"/>
                  </w:rPr>
                </w:pPr>
                <w:r>
                  <w:rPr>
                    <w:bCs/>
                    <w:lang w:eastAsia="en-GB"/>
                  </w:rPr>
                  <w:t>198162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0AB69B26" w:rsidR="00546DB1" w:rsidRPr="003B2E38" w:rsidRDefault="00136713" w:rsidP="00AB56F9">
                <w:pPr>
                  <w:tabs>
                    <w:tab w:val="left" w:pos="426"/>
                  </w:tabs>
                  <w:spacing w:before="120"/>
                  <w:rPr>
                    <w:bCs/>
                    <w:lang w:val="en-IE" w:eastAsia="en-GB"/>
                  </w:rPr>
                </w:pPr>
                <w:r>
                  <w:rPr>
                    <w:bCs/>
                    <w:lang w:eastAsia="en-GB"/>
                  </w:rPr>
                  <w:t>Leonard MIZZI</w:t>
                </w:r>
              </w:p>
            </w:sdtContent>
          </w:sdt>
          <w:p w14:paraId="227D6F6E" w14:textId="38EBF5A9" w:rsidR="00546DB1" w:rsidRPr="009F216F" w:rsidRDefault="003B788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2A7BFB">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B0388">
                      <w:rPr>
                        <w:bCs/>
                        <w:lang w:eastAsia="en-GB"/>
                      </w:rPr>
                      <w:t>2025</w:t>
                    </w:r>
                  </w:sdtContent>
                </w:sdt>
              </w:sdtContent>
            </w:sdt>
          </w:p>
          <w:p w14:paraId="4128A55A" w14:textId="2E644B26" w:rsidR="00546DB1" w:rsidRPr="00546DB1" w:rsidRDefault="003B788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36713">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36713">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2A7BFB"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EEE52E9"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00E007FE"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52" type="#_x0000_t75" style="width:241.8pt;height:21.6pt" o:ole="">
                  <v:imagedata r:id="rId19" o:title=""/>
                </v:shape>
                <w:control r:id="rId20" w:name="OptionButton4" w:shapeid="_x0000_i1052"/>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3B788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3B788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3B788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07806B1"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51" type="#_x0000_t75" style="width:419.4pt;height:37.8pt" o:ole="">
                  <v:imagedata r:id="rId21" o:title=""/>
                </v:shape>
                <w:control r:id="rId22" w:name="OptionButton5" w:shapeid="_x0000_i1051"/>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9E06605"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792D6F8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794E62">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A8BB4F6" w14:textId="77777777" w:rsidR="000B0388" w:rsidRDefault="000B0388" w:rsidP="007C07D8">
      <w:pPr>
        <w:pStyle w:val="ListNumber"/>
        <w:numPr>
          <w:ilvl w:val="0"/>
          <w:numId w:val="0"/>
        </w:numPr>
        <w:ind w:left="709" w:hanging="709"/>
        <w:rPr>
          <w:b/>
          <w:bCs/>
          <w:lang w:eastAsia="en-GB"/>
        </w:rPr>
      </w:pPr>
    </w:p>
    <w:p w14:paraId="21929814" w14:textId="77777777" w:rsidR="000B0388" w:rsidRDefault="000B0388" w:rsidP="007C07D8">
      <w:pPr>
        <w:pStyle w:val="ListNumber"/>
        <w:numPr>
          <w:ilvl w:val="0"/>
          <w:numId w:val="0"/>
        </w:numPr>
        <w:ind w:left="709" w:hanging="709"/>
        <w:rPr>
          <w:b/>
          <w:bCs/>
          <w:lang w:eastAsia="en-GB"/>
        </w:rPr>
      </w:pPr>
    </w:p>
    <w:p w14:paraId="18EA7D7F" w14:textId="7CAA0519" w:rsidR="00803007" w:rsidRPr="002A7BFB" w:rsidRDefault="00803007" w:rsidP="007C07D8">
      <w:pPr>
        <w:pStyle w:val="ListNumber"/>
        <w:numPr>
          <w:ilvl w:val="0"/>
          <w:numId w:val="0"/>
        </w:numPr>
        <w:ind w:left="709" w:hanging="709"/>
        <w:rPr>
          <w:lang w:eastAsia="en-GB"/>
        </w:rPr>
      </w:pPr>
      <w:r w:rsidRPr="002A7BFB">
        <w:rPr>
          <w:b/>
          <w:bCs/>
          <w:lang w:eastAsia="en-GB"/>
        </w:rPr>
        <w:lastRenderedPageBreak/>
        <w:t>Wer wi</w:t>
      </w:r>
      <w:r w:rsidR="002F7504" w:rsidRPr="002A7BFB">
        <w:rPr>
          <w:b/>
          <w:bCs/>
          <w:lang w:eastAsia="en-GB"/>
        </w:rPr>
        <w:t>r</w:t>
      </w:r>
      <w:r w:rsidRPr="002A7BFB">
        <w:rPr>
          <w:b/>
          <w:bCs/>
          <w:lang w:eastAsia="en-GB"/>
        </w:rPr>
        <w:t xml:space="preserve"> sind</w:t>
      </w:r>
    </w:p>
    <w:p w14:paraId="07BB2D9D" w14:textId="5D8DED5B" w:rsidR="005B2F1E" w:rsidRPr="002A7BFB" w:rsidRDefault="005B2F1E" w:rsidP="005B2F1E">
      <w:pPr>
        <w:rPr>
          <w:lang w:eastAsia="en-GB"/>
        </w:rPr>
      </w:pPr>
      <w:r w:rsidRPr="002A7BFB">
        <w:rPr>
          <w:lang w:eastAsia="en-GB"/>
        </w:rPr>
        <w:t>Die Mission von DG INTPA ist es, im Rahmen der Außenbeziehungen der Europäischen Union, die europäische Werte und Interessen zu wahren und fördern, sowie zu nachhaltiger Entwicklung, Armutsbekämpfung, Frieden und Schutz der Menschenrechte beizutragen.</w:t>
      </w:r>
    </w:p>
    <w:p w14:paraId="32D19D8D" w14:textId="60975B7A" w:rsidR="005B2F1E" w:rsidRPr="002A7BFB" w:rsidRDefault="005B2F1E" w:rsidP="005B2F1E">
      <w:pPr>
        <w:rPr>
          <w:lang w:val="nl-NL" w:eastAsia="en-GB"/>
        </w:rPr>
      </w:pPr>
      <w:r w:rsidRPr="002A7BFB">
        <w:rPr>
          <w:lang w:val="nl-NL" w:eastAsia="en-GB"/>
        </w:rPr>
        <w:t>Im Rahmen der Außenbeziehungen der Europäischen Union stützen wir unser Handeln auf das Völkerrecht und den Multilateralismus und stehen an vorderster Front bei den Bemühungen der Europäischen Union, globale Verpflichtungen umzusetzen, insbesondere die Agenda 2030 und die Ziele für nachhaltige Entwicklung der Vereinten Nationen sowie das Pariser Klimaschutzabkommen.</w:t>
      </w:r>
    </w:p>
    <w:p w14:paraId="76DD1EEA" w14:textId="287870FA" w:rsidR="00803007" w:rsidRPr="002A7BFB" w:rsidRDefault="005B2F1E" w:rsidP="005B2F1E">
      <w:pPr>
        <w:rPr>
          <w:lang w:val="nl-NL" w:eastAsia="en-GB"/>
        </w:rPr>
      </w:pPr>
      <w:r w:rsidRPr="002A7BFB">
        <w:rPr>
          <w:lang w:val="nl-NL" w:eastAsia="en-GB"/>
        </w:rPr>
        <w:t>Im Rahmen der geopolitischen Ambitionen und politischen Leitlinien des Präsidenten der Europäischen Kommission sind wir führend bei der internationalen Zusammenarbeit und bauen Partnerschaften mit Ländern und Organisationen auf der ganzen Welt auf. DG INTPA arbeitet Hand in Hand mit den Dienststellen der Kommission und dem Europäischen Auswärtigen Dienst, um sicherzustellen, dass die externe Dimension aller EU-Politiken unser Handeln in der Welt stärkt. Wir arbeiten Hand in Hand mit unseren Mitgliedstaaten, um auf der Weltbühne durch einen starken Team-Europe-Ansatz unsere gemeinsame EU-Agenda voranzutreiben</w:t>
      </w:r>
      <w:r w:rsidR="006F6622">
        <w:rPr>
          <w:lang w:val="nl-NL" w:eastAsia="en-GB"/>
        </w:rPr>
        <w:t>, i</w:t>
      </w:r>
      <w:r w:rsidR="006F6622" w:rsidRPr="006F6622">
        <w:rPr>
          <w:lang w:eastAsia="en-GB"/>
        </w:rPr>
        <w:t>nsbesondere die EU-Global-Gateway-Initiative</w:t>
      </w:r>
      <w:r w:rsidRPr="002A7BFB">
        <w:rPr>
          <w:lang w:val="nl-NL" w:eastAsia="en-GB"/>
        </w:rPr>
        <w:t>. Wir arbeiten Hand in Hand mit unseren Partnern, legen politische Zielsetzungen fest, ergreifen die Initiative und sorgen für eine wirksame Umsetzung unserer globalen Entwicklungs</w:t>
      </w:r>
      <w:r w:rsidR="00A85375" w:rsidRPr="002A7BFB">
        <w:rPr>
          <w:lang w:val="nl-NL" w:eastAsia="en-GB"/>
        </w:rPr>
        <w:t>ziele</w:t>
      </w:r>
      <w:r w:rsidRPr="002A7BFB">
        <w:rPr>
          <w:lang w:val="nl-NL" w:eastAsia="en-GB"/>
        </w:rPr>
        <w:t>.</w:t>
      </w:r>
    </w:p>
    <w:p w14:paraId="3862387A" w14:textId="77777777" w:rsidR="00803007" w:rsidRPr="002A7BFB" w:rsidRDefault="00803007" w:rsidP="00803007">
      <w:pPr>
        <w:pStyle w:val="ListNumber"/>
        <w:numPr>
          <w:ilvl w:val="0"/>
          <w:numId w:val="0"/>
        </w:numPr>
        <w:ind w:left="709" w:hanging="709"/>
        <w:rPr>
          <w:b/>
          <w:bCs/>
          <w:lang w:val="nl-NL"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p w14:paraId="06E664A5" w14:textId="77777777" w:rsidR="002D4AC3" w:rsidRPr="002D4AC3" w:rsidRDefault="002D4AC3" w:rsidP="002D4AC3">
      <w:pPr>
        <w:pStyle w:val="NormalWeb"/>
        <w:jc w:val="both"/>
        <w:rPr>
          <w:lang w:val="nl-NL"/>
        </w:rPr>
      </w:pPr>
      <w:r w:rsidRPr="002D4AC3">
        <w:rPr>
          <w:lang w:val="nl-NL"/>
        </w:rPr>
        <w:t>Der europäische Green Deal ist ein Paket politischer Initiativen zur Unterstützung des nachhaltigen Wandels in zentralen Sektoren wie Landwirtschaft und Ernährung. Die Vision für Landwirtschaft und Ernährung (2025) zielt darauf ab, Vertrauen und Dialog entlang der gesamten Wertschöpfungskette innerhalb der EU und weltweit zu fördern. Sie betont eine enge Zusammenarbeit mit relevanten Institutionen, Landwirten, Akteuren der Lebensmittelkette und der Zivilgesellschaft auf lokaler und regionaler Ebene, um deren Anliegen zu berücksichtigen.</w:t>
      </w:r>
    </w:p>
    <w:p w14:paraId="4FAFCC22" w14:textId="77777777" w:rsidR="002D4AC3" w:rsidRPr="002D4AC3" w:rsidRDefault="002D4AC3" w:rsidP="002D4AC3">
      <w:pPr>
        <w:pStyle w:val="NormalWeb"/>
        <w:jc w:val="both"/>
        <w:rPr>
          <w:lang w:val="nl-NL"/>
        </w:rPr>
      </w:pPr>
      <w:r w:rsidRPr="002D4AC3">
        <w:rPr>
          <w:lang w:val="nl-NL"/>
        </w:rPr>
        <w:t>Sie umfasst neue Einkommensmöglichkeiten für Landwirte und Fischer durch eine klimaneutrale und naturfreundliche Wirtschaft. Der ökologische Sektor und agroökologische Anbaumethoden werden als attraktive Optionen für junge Landwirte anerkannt, zusätzlich zu Innovationen aus der Bioökonomie, Kreislaufwirtschaft und Kohlenstofflandwirtschaft.</w:t>
      </w:r>
    </w:p>
    <w:p w14:paraId="2637050D" w14:textId="77777777" w:rsidR="002D4AC3" w:rsidRPr="002D4AC3" w:rsidRDefault="002D4AC3" w:rsidP="002D4AC3">
      <w:pPr>
        <w:pStyle w:val="NormalWeb"/>
        <w:jc w:val="both"/>
        <w:rPr>
          <w:lang w:val="nl-NL"/>
        </w:rPr>
      </w:pPr>
      <w:r w:rsidRPr="002D4AC3">
        <w:rPr>
          <w:lang w:val="nl-NL"/>
        </w:rPr>
        <w:t>Die Vision hebt hervor, dass „Wissen, Forschung und Innovation“ Landwirte und andere Akteure des Ernährungssystems schneller und in größerem Umfang erreichen müssen. Zudem wird betont, dass die Stärkung internationaler Partnerschaften und die Zusammenarbeit mit internationalen Organisationen auf globaler Ebene zur Entwicklung innovativer Lösungen beitragen wird. Die Förderung landwirtschaftlicher Wissens- und Innovationssysteme ist erforderlich, um neues Wissen und Innovationen zugänglich und nutzbar zu machen.</w:t>
      </w:r>
    </w:p>
    <w:p w14:paraId="320506E9" w14:textId="3AB428F5" w:rsidR="002D4AC3" w:rsidRPr="002D4AC3" w:rsidRDefault="002D4AC3" w:rsidP="002D4AC3">
      <w:pPr>
        <w:pStyle w:val="NormalWeb"/>
        <w:jc w:val="both"/>
        <w:rPr>
          <w:lang w:val="nl-NL"/>
        </w:rPr>
      </w:pPr>
      <w:r w:rsidRPr="002D4AC3">
        <w:rPr>
          <w:lang w:val="nl-NL"/>
        </w:rPr>
        <w:t xml:space="preserve">Die Außenpolitik der EU wird maßgeblich von der Global-Gateway-Strategie bestimmt, der Strategie der EU zur Förderung nachhaltiger Infrastruktur und Entwicklung in Partnerländern. Sie legt besonderen Wert auf die Mobilisierung privater Investitionen und </w:t>
      </w:r>
      <w:r w:rsidRPr="002D4AC3">
        <w:rPr>
          <w:lang w:val="nl-NL"/>
        </w:rPr>
        <w:lastRenderedPageBreak/>
        <w:t>konzentriert sich im Agrar- und Ernährungssektor auf die agrarischen Wertschöpfungsketten.„Bildung &amp; Forschung“ ist eine tragende Säule von Global Gateway und trägt zur Schaffung eines förderlichen Umfelds sowie zur Stärkung der Kapazitäten für die anderen Säulen bei. Ergänzend zu Global Gateway wird die Außenpolitik der EU auch Fragilität, globale Herausforderungen und internationale Initiativen angehen.</w:t>
      </w:r>
    </w:p>
    <w:p w14:paraId="58C2C076" w14:textId="77777777" w:rsidR="002D4AC3" w:rsidRPr="002D4AC3" w:rsidRDefault="002D4AC3" w:rsidP="002D4AC3">
      <w:pPr>
        <w:pStyle w:val="NormalWeb"/>
        <w:jc w:val="both"/>
        <w:rPr>
          <w:lang w:val="nl-NL"/>
        </w:rPr>
      </w:pPr>
      <w:r w:rsidRPr="002D4AC3">
        <w:rPr>
          <w:lang w:val="nl-NL"/>
        </w:rPr>
        <w:t>Die Generaldirektion für internationale Partnerschaften (DG INTPA) verfügt über langjährige Erfahrung in Forschung und Innovation (F&amp;I) im Bereich Landwirtschaft und bei der Transformation von Ernährungssystemen, unter anderem durch Programme wie DeSIRA und DeSIRA+. Sie wird F&amp;I als Teil der neuen Prioritäten der EU für außenpolitische Maßnahmen, einschließlich der Global-Gateway-Strategie, behandeln.</w:t>
      </w:r>
    </w:p>
    <w:p w14:paraId="425E4EDA" w14:textId="77777777" w:rsidR="002D4AC3" w:rsidRPr="002D4AC3" w:rsidRDefault="002D4AC3" w:rsidP="002D4AC3">
      <w:pPr>
        <w:pStyle w:val="NormalWeb"/>
        <w:jc w:val="both"/>
        <w:rPr>
          <w:lang w:val="nl-NL"/>
        </w:rPr>
      </w:pPr>
      <w:r w:rsidRPr="002D4AC3">
        <w:rPr>
          <w:lang w:val="nl-NL"/>
        </w:rPr>
        <w:t>Daher wird die Ernennung eines abgeordneten nationalen Experten (SNE) beantragt, der technische Beratung und operative Unterstützung zu Forschungs- und Innovationsprozessen sowie Innovationsökosystemen leistet, um agroökologische und zirkuläre Ansätze im Agrar- und Ernährungssektor in großem Maßstab zu fördern.</w:t>
      </w:r>
    </w:p>
    <w:p w14:paraId="3703CED2" w14:textId="77777777" w:rsidR="002D4AC3" w:rsidRPr="002D4AC3" w:rsidRDefault="002D4AC3" w:rsidP="002D4AC3">
      <w:pPr>
        <w:pStyle w:val="NormalWeb"/>
        <w:jc w:val="both"/>
        <w:rPr>
          <w:lang w:val="nl-NL"/>
        </w:rPr>
      </w:pPr>
      <w:r w:rsidRPr="002D4AC3">
        <w:rPr>
          <w:lang w:val="nl-NL"/>
        </w:rPr>
        <w:t>Die Aufgaben werden über die DG INTPA und/oder die Team-Europe-Initiativen, in Zusammenarbeit mit anderen relevanten Generaldirektionen der Europäischen Kommission sowie in Partnerschaft mit internationalen Netzwerken wie CGIAR durchgeführt.</w:t>
      </w:r>
    </w:p>
    <w:p w14:paraId="28222F06" w14:textId="77777777" w:rsidR="002D4AC3" w:rsidRPr="002D4AC3" w:rsidRDefault="002D4AC3" w:rsidP="002D4AC3">
      <w:pPr>
        <w:pStyle w:val="NormalWeb"/>
        <w:jc w:val="both"/>
        <w:rPr>
          <w:lang w:val="nl-NL"/>
        </w:rPr>
      </w:pPr>
      <w:r w:rsidRPr="002D4AC3">
        <w:rPr>
          <w:lang w:val="nl-NL"/>
        </w:rPr>
        <w:t>Der SNE wird außerdem Anleitung und hochwertige Unterstützung bei der Analyse von Wertschöpfungsketten in der Landwirtschaft (einschließlich Viehzucht, Aquakultur und Fischerei) leisten, als Teil umfassenderer nachhaltiger Agrar-Wertschöpfungsketten und Ernährungssystempartnerschaften, die mit der Global-Gateway-Strategie der EU im Einklang stehen.</w:t>
      </w:r>
    </w:p>
    <w:p w14:paraId="45598CDE" w14:textId="77777777" w:rsidR="002D4AC3" w:rsidRPr="002D4AC3" w:rsidRDefault="002D4AC3" w:rsidP="00803007">
      <w:pPr>
        <w:rPr>
          <w:lang w:val="nl-NL" w:eastAsia="en-GB"/>
        </w:rPr>
      </w:pPr>
    </w:p>
    <w:p w14:paraId="461124B8" w14:textId="77777777" w:rsidR="00A85375" w:rsidRPr="00A85375" w:rsidRDefault="00A85375" w:rsidP="00A85375">
      <w:pPr>
        <w:pStyle w:val="ListNumber"/>
        <w:numPr>
          <w:ilvl w:val="0"/>
          <w:numId w:val="0"/>
        </w:numPr>
        <w:rPr>
          <w:i/>
          <w:iCs/>
          <w:lang w:eastAsia="en-GB"/>
        </w:rPr>
      </w:pPr>
      <w:r w:rsidRPr="00A85375">
        <w:rPr>
          <w:i/>
          <w:iCs/>
          <w:lang w:eastAsia="en-GB"/>
        </w:rPr>
        <w:t>Aufgabenbeschreibung</w:t>
      </w:r>
    </w:p>
    <w:p w14:paraId="5E4F0A43" w14:textId="77777777" w:rsidR="001E07FB" w:rsidRPr="001E07FB" w:rsidRDefault="001E07FB" w:rsidP="001E07FB">
      <w:pPr>
        <w:pStyle w:val="NormalWeb"/>
        <w:numPr>
          <w:ilvl w:val="0"/>
          <w:numId w:val="32"/>
        </w:numPr>
        <w:rPr>
          <w:lang w:val="nl-NL"/>
        </w:rPr>
      </w:pPr>
      <w:r w:rsidRPr="001E07FB">
        <w:rPr>
          <w:lang w:val="nl-NL"/>
        </w:rPr>
        <w:t>Strategische und technische Zusammenarbeit mit den Diensten der Europäischen Kommission, den EU-Mitgliedstaaten, den EU-Delegationen und Umsetzungspartnern zu Forschung und Innovation (F&amp;I) im Agrar- und Ernährungsbereich sowie zu agroökologischen und zirkulären Ansätzen in den Partnerländern der EU.</w:t>
      </w:r>
    </w:p>
    <w:p w14:paraId="1949A62D" w14:textId="77777777" w:rsidR="001E07FB" w:rsidRPr="001E07FB" w:rsidRDefault="001E07FB" w:rsidP="001E07FB">
      <w:pPr>
        <w:pStyle w:val="NormalWeb"/>
        <w:numPr>
          <w:ilvl w:val="0"/>
          <w:numId w:val="32"/>
        </w:numPr>
        <w:rPr>
          <w:lang w:val="nl-NL"/>
        </w:rPr>
      </w:pPr>
      <w:r w:rsidRPr="001E07FB">
        <w:rPr>
          <w:lang w:val="nl-NL"/>
        </w:rPr>
        <w:t>Unterstützung der Zusammenarbeit mit der GD INTPA und anderen Generaldirektionen zur Koordinierung von Politiken und Maßnahmen im Bereich F&amp;I in Partnerländern.</w:t>
      </w:r>
    </w:p>
    <w:p w14:paraId="3978CD29" w14:textId="77777777" w:rsidR="001E07FB" w:rsidRPr="001E07FB" w:rsidRDefault="001E07FB" w:rsidP="001E07FB">
      <w:pPr>
        <w:pStyle w:val="NormalWeb"/>
        <w:numPr>
          <w:ilvl w:val="0"/>
          <w:numId w:val="32"/>
        </w:numPr>
        <w:rPr>
          <w:lang w:val="nl-NL"/>
        </w:rPr>
      </w:pPr>
      <w:r w:rsidRPr="001E07FB">
        <w:rPr>
          <w:lang w:val="nl-NL"/>
        </w:rPr>
        <w:t>Unterstützung bei der Gestaltung und Verwaltung von Kooperationsaktivitäten, Projekten und Programmen in Partnerländern in Zusammenarbeit mit EU-Delegationen und Umsetzungspartnern, in Einklang mit agroökologischen und zirkulären Ansätzen.</w:t>
      </w:r>
    </w:p>
    <w:p w14:paraId="6A637C4D" w14:textId="77777777" w:rsidR="001E07FB" w:rsidRPr="001E07FB" w:rsidRDefault="001E07FB" w:rsidP="001E07FB">
      <w:pPr>
        <w:pStyle w:val="NormalWeb"/>
        <w:numPr>
          <w:ilvl w:val="0"/>
          <w:numId w:val="32"/>
        </w:numPr>
        <w:rPr>
          <w:lang w:val="nl-NL"/>
        </w:rPr>
      </w:pPr>
      <w:r w:rsidRPr="001E07FB">
        <w:rPr>
          <w:lang w:val="nl-NL"/>
        </w:rPr>
        <w:t>Beitrag zur Entwicklung und Verwaltung von Programmen für nachhaltige Agrar-Wertschöpfungsketten und Ernährungssysteme in den Partnerländern der EU, mit Fokus auf öffentlich-private Partnerschaften, (finanzielle) Anreize und innovative Finanzierungsmöglichkeiten für F&amp;I im Rahmen der Global-Gateway-Strategie.</w:t>
      </w:r>
    </w:p>
    <w:p w14:paraId="2140C768" w14:textId="6DAF7894" w:rsidR="001E07FB" w:rsidRPr="001E07FB" w:rsidRDefault="001E07FB" w:rsidP="001E07FB">
      <w:pPr>
        <w:pStyle w:val="NormalWeb"/>
        <w:numPr>
          <w:ilvl w:val="0"/>
          <w:numId w:val="32"/>
        </w:numPr>
        <w:rPr>
          <w:lang w:val="nl-NL"/>
        </w:rPr>
      </w:pPr>
      <w:r w:rsidRPr="001E07FB">
        <w:rPr>
          <w:lang w:val="nl-NL"/>
        </w:rPr>
        <w:t>Unterstützung bei der Organisation politischer und technischer Veranstaltungen sowie multi-stakeholder Dialoge auf globaler, regionaler und lokaler Ebene.</w:t>
      </w:r>
    </w:p>
    <w:p w14:paraId="221E4883" w14:textId="667B3F85" w:rsidR="00803007" w:rsidRPr="00A85375" w:rsidRDefault="00A85375" w:rsidP="00A85375">
      <w:pPr>
        <w:pStyle w:val="ListNumber"/>
        <w:numPr>
          <w:ilvl w:val="0"/>
          <w:numId w:val="32"/>
        </w:numPr>
        <w:rPr>
          <w:lang w:eastAsia="en-GB"/>
        </w:rPr>
      </w:pPr>
      <w:r w:rsidRPr="00A85375">
        <w:rPr>
          <w:lang w:eastAsia="en-GB"/>
        </w:rPr>
        <w:lastRenderedPageBreak/>
        <w:t>Bereitstellung von Ad-hoc-Unterstützung für relevante Dossiers zu landwirtschaftlichen Wertschöpfungsketten und Lebensmittelsystemen.</w:t>
      </w:r>
    </w:p>
    <w:p w14:paraId="18848DA3" w14:textId="77777777" w:rsidR="008E6CBF" w:rsidRDefault="008E6CBF" w:rsidP="00803007">
      <w:pPr>
        <w:pStyle w:val="ListNumber"/>
        <w:numPr>
          <w:ilvl w:val="0"/>
          <w:numId w:val="0"/>
        </w:numPr>
        <w:ind w:left="709" w:hanging="709"/>
        <w:rPr>
          <w:b/>
          <w:bCs/>
          <w:lang w:eastAsia="en-GB"/>
        </w:rPr>
      </w:pPr>
    </w:p>
    <w:p w14:paraId="7BDE8AFF" w14:textId="373C1F2B"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p w14:paraId="53EDEEC8" w14:textId="77777777" w:rsidR="008E6CBF" w:rsidRPr="008E6CBF" w:rsidRDefault="008E6CBF" w:rsidP="008E6CBF">
      <w:pPr>
        <w:rPr>
          <w:i/>
          <w:iCs/>
          <w:lang w:eastAsia="en-GB"/>
        </w:rPr>
      </w:pPr>
      <w:r w:rsidRPr="008E6CBF">
        <w:rPr>
          <w:i/>
          <w:iCs/>
          <w:lang w:eastAsia="en-GB"/>
        </w:rPr>
        <w:t>Akademischer Hintergrund</w:t>
      </w:r>
    </w:p>
    <w:p w14:paraId="4A89BDCC" w14:textId="77777777" w:rsidR="001E07FB" w:rsidRPr="001E07FB" w:rsidRDefault="001E07FB" w:rsidP="001E07FB">
      <w:pPr>
        <w:rPr>
          <w:lang w:eastAsia="en-GB"/>
        </w:rPr>
      </w:pPr>
      <w:r w:rsidRPr="001E07FB">
        <w:rPr>
          <w:lang w:eastAsia="en-GB"/>
        </w:rPr>
        <w:t>Bevorzugt Promotion, mindestens jedoch ein Master oder eine gleichwertige Qualifikation in Agronomie (einschließlich Agroökologie oder Agroforstwirtschaft) mit Schwerpunkt auf Entwicklung (bevorzugte Option) oder in Umweltwissenschaften, Entwicklungsökonomie, Soziologie und/oder Politik.</w:t>
      </w:r>
    </w:p>
    <w:p w14:paraId="778DA8B7" w14:textId="77777777" w:rsidR="008E6CBF" w:rsidRPr="008E6CBF" w:rsidRDefault="008E6CBF" w:rsidP="008E6CBF">
      <w:pPr>
        <w:rPr>
          <w:i/>
          <w:iCs/>
          <w:lang w:eastAsia="en-GB"/>
        </w:rPr>
      </w:pPr>
      <w:r w:rsidRPr="008E6CBF">
        <w:rPr>
          <w:i/>
          <w:iCs/>
          <w:lang w:eastAsia="en-GB"/>
        </w:rPr>
        <w:t>Erforderliche Kenntnisse und Berufserfahrung</w:t>
      </w:r>
    </w:p>
    <w:p w14:paraId="5F5F1379" w14:textId="77777777" w:rsidR="001E07FB" w:rsidRPr="001E07FB" w:rsidRDefault="001E07FB" w:rsidP="001E07FB">
      <w:pPr>
        <w:numPr>
          <w:ilvl w:val="0"/>
          <w:numId w:val="34"/>
        </w:numPr>
        <w:rPr>
          <w:lang w:val="nl-NL" w:eastAsia="en-GB"/>
        </w:rPr>
      </w:pPr>
      <w:r w:rsidRPr="001E07FB">
        <w:rPr>
          <w:lang w:val="nl-NL" w:eastAsia="en-GB"/>
        </w:rPr>
        <w:t>Mindestens 3–5 Jahre einschlägige Berufserfahrung erforderlich.</w:t>
      </w:r>
    </w:p>
    <w:p w14:paraId="5D7AF3E1" w14:textId="77777777" w:rsidR="001E07FB" w:rsidRPr="001E07FB" w:rsidRDefault="001E07FB" w:rsidP="001E07FB">
      <w:pPr>
        <w:numPr>
          <w:ilvl w:val="0"/>
          <w:numId w:val="34"/>
        </w:numPr>
        <w:rPr>
          <w:lang w:val="en-IE" w:eastAsia="en-GB"/>
        </w:rPr>
      </w:pPr>
      <w:r w:rsidRPr="001E07FB">
        <w:rPr>
          <w:lang w:val="en-IE" w:eastAsia="en-GB"/>
        </w:rPr>
        <w:t>Kenntnisse und Erfahrung in Entwicklungsfragen (Innovationsprozesse, partizipative Ansätze, politischer Dialog etc.).</w:t>
      </w:r>
    </w:p>
    <w:p w14:paraId="50EAE04B" w14:textId="77777777" w:rsidR="001E07FB" w:rsidRPr="001E07FB" w:rsidRDefault="001E07FB" w:rsidP="001E07FB">
      <w:pPr>
        <w:numPr>
          <w:ilvl w:val="0"/>
          <w:numId w:val="34"/>
        </w:numPr>
        <w:rPr>
          <w:lang w:val="en-IE" w:eastAsia="en-GB"/>
        </w:rPr>
      </w:pPr>
      <w:r w:rsidRPr="001E07FB">
        <w:rPr>
          <w:lang w:val="en-IE" w:eastAsia="en-GB"/>
        </w:rPr>
        <w:t>Kenntnisse und Erfahrung mit Forschungs- und Innovationsansätzen (F&amp;I).</w:t>
      </w:r>
    </w:p>
    <w:p w14:paraId="5DAB8A1E" w14:textId="77777777" w:rsidR="001E07FB" w:rsidRPr="001E07FB" w:rsidRDefault="001E07FB" w:rsidP="001E07FB">
      <w:pPr>
        <w:numPr>
          <w:ilvl w:val="0"/>
          <w:numId w:val="34"/>
        </w:numPr>
        <w:rPr>
          <w:lang w:val="en-IE" w:eastAsia="en-GB"/>
        </w:rPr>
      </w:pPr>
      <w:r w:rsidRPr="001E07FB">
        <w:rPr>
          <w:lang w:val="en-IE" w:eastAsia="en-GB"/>
        </w:rPr>
        <w:t>Erfahrung in der internationalen Entwicklung (F&amp;I, Umwelt-/Klima-/Agrarpolitik).</w:t>
      </w:r>
    </w:p>
    <w:p w14:paraId="18DE77D1" w14:textId="77777777" w:rsidR="001E07FB" w:rsidRPr="001E07FB" w:rsidRDefault="001E07FB" w:rsidP="001E07FB">
      <w:pPr>
        <w:numPr>
          <w:ilvl w:val="0"/>
          <w:numId w:val="34"/>
        </w:numPr>
        <w:rPr>
          <w:lang w:val="nl-NL" w:eastAsia="en-GB"/>
        </w:rPr>
      </w:pPr>
      <w:r w:rsidRPr="001E07FB">
        <w:rPr>
          <w:lang w:val="nl-NL" w:eastAsia="en-GB"/>
        </w:rPr>
        <w:t>Feld</w:t>
      </w:r>
      <w:r w:rsidRPr="001E07FB">
        <w:rPr>
          <w:lang w:val="nl-NL" w:eastAsia="en-GB"/>
        </w:rPr>
        <w:softHyphen/>
        <w:t>erfahrung in Entwicklungsländern wäre ein großer Vorteil.</w:t>
      </w:r>
    </w:p>
    <w:p w14:paraId="44F9A57E" w14:textId="77777777" w:rsidR="008E6CBF" w:rsidRPr="008E6CBF" w:rsidRDefault="008E6CBF" w:rsidP="008E6CBF">
      <w:pPr>
        <w:rPr>
          <w:i/>
          <w:iCs/>
          <w:lang w:eastAsia="en-GB"/>
        </w:rPr>
      </w:pPr>
      <w:r w:rsidRPr="008E6CBF">
        <w:rPr>
          <w:i/>
          <w:iCs/>
          <w:lang w:eastAsia="en-GB"/>
        </w:rPr>
        <w:t>Sprachkenntnisse</w:t>
      </w:r>
    </w:p>
    <w:p w14:paraId="2A0F153A" w14:textId="384EACD7" w:rsidR="009321C6" w:rsidRPr="009F216F" w:rsidRDefault="008E6CBF" w:rsidP="008E6CBF">
      <w:pPr>
        <w:rPr>
          <w:lang w:eastAsia="en-GB"/>
        </w:rPr>
      </w:pPr>
      <w:r>
        <w:rPr>
          <w:lang w:eastAsia="en-GB"/>
        </w:rPr>
        <w:t>Mündliche und schriftliche Kenntnisse in Englisch und Französisch erforderlich (mindestens Niveau C1). Weitere Sprachkenntnisse können von Vorteil sein.</w:t>
      </w:r>
    </w:p>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w:t>
      </w:r>
      <w:r w:rsidRPr="00D605F4">
        <w:rPr>
          <w:lang w:eastAsia="en-GB"/>
        </w:rPr>
        <w:lastRenderedPageBreak/>
        <w:t xml:space="preserve">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Default="00546DB1" w:rsidP="00546DB1">
      <w:pPr>
        <w:spacing w:after="0"/>
        <w:rPr>
          <w:lang w:eastAsia="en-GB"/>
        </w:rPr>
      </w:pPr>
    </w:p>
    <w:p w14:paraId="00B547B0" w14:textId="77777777" w:rsidR="001E07FB" w:rsidRDefault="001E07FB" w:rsidP="00546DB1">
      <w:pPr>
        <w:spacing w:after="0"/>
        <w:rPr>
          <w:lang w:eastAsia="en-GB"/>
        </w:rPr>
      </w:pPr>
    </w:p>
    <w:p w14:paraId="21F75926" w14:textId="77777777" w:rsidR="001E07FB" w:rsidRPr="00D605F4" w:rsidRDefault="001E07FB"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DD6AE5"/>
    <w:multiLevelType w:val="multilevel"/>
    <w:tmpl w:val="35AA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AA23E1B"/>
    <w:multiLevelType w:val="hybridMultilevel"/>
    <w:tmpl w:val="A8CAFE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A11301"/>
    <w:multiLevelType w:val="multilevel"/>
    <w:tmpl w:val="994C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5856222"/>
    <w:multiLevelType w:val="hybridMultilevel"/>
    <w:tmpl w:val="912CCFBA"/>
    <w:lvl w:ilvl="0" w:tplc="40FC59C6">
      <w:numFmt w:val="bullet"/>
      <w:lvlText w:val="•"/>
      <w:lvlJc w:val="left"/>
      <w:pPr>
        <w:ind w:left="360" w:hanging="360"/>
      </w:pPr>
      <w:rPr>
        <w:rFonts w:ascii="Times New Roman" w:eastAsia="Times New Rom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3" w15:restartNumberingAfterBreak="0">
    <w:nsid w:val="667142D8"/>
    <w:multiLevelType w:val="hybridMultilevel"/>
    <w:tmpl w:val="88C67FDC"/>
    <w:lvl w:ilvl="0" w:tplc="1809000F">
      <w:start w:val="1"/>
      <w:numFmt w:val="decimal"/>
      <w:lvlText w:val="%1."/>
      <w:lvlJc w:val="left"/>
      <w:pPr>
        <w:ind w:left="720" w:hanging="360"/>
      </w:pPr>
    </w:lvl>
    <w:lvl w:ilvl="1" w:tplc="85EE8342">
      <w:numFmt w:val="bullet"/>
      <w:lvlText w:val="•"/>
      <w:lvlJc w:val="left"/>
      <w:pPr>
        <w:ind w:left="1460" w:hanging="380"/>
      </w:pPr>
      <w:rPr>
        <w:rFonts w:ascii="Times New Roman" w:eastAsia="Times New Roman" w:hAnsi="Times New Roman" w:cs="Times New Roman"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6"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4"/>
  </w:num>
  <w:num w:numId="3" w16cid:durableId="1803648488">
    <w:abstractNumId w:val="8"/>
  </w:num>
  <w:num w:numId="4" w16cid:durableId="1345133806">
    <w:abstractNumId w:val="15"/>
  </w:num>
  <w:num w:numId="5" w16cid:durableId="1484001909">
    <w:abstractNumId w:val="20"/>
  </w:num>
  <w:num w:numId="6" w16cid:durableId="773328393">
    <w:abstractNumId w:val="24"/>
  </w:num>
  <w:num w:numId="7" w16cid:durableId="105732114">
    <w:abstractNumId w:val="2"/>
  </w:num>
  <w:num w:numId="8" w16cid:durableId="385377974">
    <w:abstractNumId w:val="7"/>
  </w:num>
  <w:num w:numId="9" w16cid:durableId="526991876">
    <w:abstractNumId w:val="17"/>
  </w:num>
  <w:num w:numId="10" w16cid:durableId="564218535">
    <w:abstractNumId w:val="3"/>
  </w:num>
  <w:num w:numId="11" w16cid:durableId="1038512878">
    <w:abstractNumId w:val="5"/>
  </w:num>
  <w:num w:numId="12" w16cid:durableId="1162895123">
    <w:abstractNumId w:val="6"/>
  </w:num>
  <w:num w:numId="13" w16cid:durableId="225267355">
    <w:abstractNumId w:val="10"/>
  </w:num>
  <w:num w:numId="14" w16cid:durableId="1302420880">
    <w:abstractNumId w:val="16"/>
  </w:num>
  <w:num w:numId="15" w16cid:durableId="1649935422">
    <w:abstractNumId w:val="19"/>
  </w:num>
  <w:num w:numId="16" w16cid:durableId="57359822">
    <w:abstractNumId w:val="25"/>
  </w:num>
  <w:num w:numId="17" w16cid:durableId="229002306">
    <w:abstractNumId w:val="11"/>
  </w:num>
  <w:num w:numId="18" w16cid:durableId="630205849">
    <w:abstractNumId w:val="12"/>
  </w:num>
  <w:num w:numId="19" w16cid:durableId="2102024247">
    <w:abstractNumId w:val="26"/>
  </w:num>
  <w:num w:numId="20" w16cid:durableId="759369245">
    <w:abstractNumId w:val="18"/>
  </w:num>
  <w:num w:numId="21" w16cid:durableId="975991476">
    <w:abstractNumId w:val="21"/>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354190598">
    <w:abstractNumId w:val="23"/>
  </w:num>
  <w:num w:numId="31" w16cid:durableId="1097559898">
    <w:abstractNumId w:val="9"/>
  </w:num>
  <w:num w:numId="32" w16cid:durableId="332298168">
    <w:abstractNumId w:val="22"/>
  </w:num>
  <w:num w:numId="33" w16cid:durableId="1757163224">
    <w:abstractNumId w:val="1"/>
  </w:num>
  <w:num w:numId="34" w16cid:durableId="18541484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87ADD"/>
    <w:rsid w:val="000B0388"/>
    <w:rsid w:val="000D7B5E"/>
    <w:rsid w:val="001203F8"/>
    <w:rsid w:val="00136713"/>
    <w:rsid w:val="001E07FB"/>
    <w:rsid w:val="002A7BFB"/>
    <w:rsid w:val="002C5752"/>
    <w:rsid w:val="002D4AC3"/>
    <w:rsid w:val="002F7504"/>
    <w:rsid w:val="00324D8D"/>
    <w:rsid w:val="0035094A"/>
    <w:rsid w:val="003874E2"/>
    <w:rsid w:val="0039387D"/>
    <w:rsid w:val="00394A86"/>
    <w:rsid w:val="003A1083"/>
    <w:rsid w:val="003B2E38"/>
    <w:rsid w:val="003B788D"/>
    <w:rsid w:val="003C778E"/>
    <w:rsid w:val="003E7E9F"/>
    <w:rsid w:val="003F68EB"/>
    <w:rsid w:val="004066D6"/>
    <w:rsid w:val="004D75AF"/>
    <w:rsid w:val="00546DB1"/>
    <w:rsid w:val="005B2F1E"/>
    <w:rsid w:val="006243BB"/>
    <w:rsid w:val="00644C75"/>
    <w:rsid w:val="00676119"/>
    <w:rsid w:val="006906F5"/>
    <w:rsid w:val="006F44C9"/>
    <w:rsid w:val="006F6622"/>
    <w:rsid w:val="00767E7E"/>
    <w:rsid w:val="007716E4"/>
    <w:rsid w:val="00785A3F"/>
    <w:rsid w:val="00794E62"/>
    <w:rsid w:val="00795C41"/>
    <w:rsid w:val="007A795D"/>
    <w:rsid w:val="007A7CF4"/>
    <w:rsid w:val="007B514A"/>
    <w:rsid w:val="007C07D8"/>
    <w:rsid w:val="007D0EC6"/>
    <w:rsid w:val="00803007"/>
    <w:rsid w:val="008102E0"/>
    <w:rsid w:val="0089735C"/>
    <w:rsid w:val="008D52CF"/>
    <w:rsid w:val="008E6CBF"/>
    <w:rsid w:val="009321C6"/>
    <w:rsid w:val="009442BE"/>
    <w:rsid w:val="009F216F"/>
    <w:rsid w:val="00A85375"/>
    <w:rsid w:val="00AB56F9"/>
    <w:rsid w:val="00AC5FF8"/>
    <w:rsid w:val="00AE6941"/>
    <w:rsid w:val="00B73B91"/>
    <w:rsid w:val="00BF6139"/>
    <w:rsid w:val="00C07259"/>
    <w:rsid w:val="00C27C81"/>
    <w:rsid w:val="00CD33B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uiPriority w:val="99"/>
    <w:unhideWhenUsed/>
    <w:locked/>
    <w:rsid w:val="002D4AC3"/>
    <w:pPr>
      <w:spacing w:before="100" w:beforeAutospacing="1" w:after="100" w:afterAutospacing="1"/>
      <w:jc w:val="left"/>
    </w:pPr>
    <w:rPr>
      <w:szCs w:val="24"/>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93617">
      <w:bodyDiv w:val="1"/>
      <w:marLeft w:val="0"/>
      <w:marRight w:val="0"/>
      <w:marTop w:val="0"/>
      <w:marBottom w:val="0"/>
      <w:divBdr>
        <w:top w:val="none" w:sz="0" w:space="0" w:color="auto"/>
        <w:left w:val="none" w:sz="0" w:space="0" w:color="auto"/>
        <w:bottom w:val="none" w:sz="0" w:space="0" w:color="auto"/>
        <w:right w:val="none" w:sz="0" w:space="0" w:color="auto"/>
      </w:divBdr>
    </w:div>
    <w:div w:id="450366983">
      <w:bodyDiv w:val="1"/>
      <w:marLeft w:val="0"/>
      <w:marRight w:val="0"/>
      <w:marTop w:val="0"/>
      <w:marBottom w:val="0"/>
      <w:divBdr>
        <w:top w:val="none" w:sz="0" w:space="0" w:color="auto"/>
        <w:left w:val="none" w:sz="0" w:space="0" w:color="auto"/>
        <w:bottom w:val="none" w:sz="0" w:space="0" w:color="auto"/>
        <w:right w:val="none" w:sz="0" w:space="0" w:color="auto"/>
      </w:divBdr>
    </w:div>
    <w:div w:id="677778017">
      <w:bodyDiv w:val="1"/>
      <w:marLeft w:val="0"/>
      <w:marRight w:val="0"/>
      <w:marTop w:val="0"/>
      <w:marBottom w:val="0"/>
      <w:divBdr>
        <w:top w:val="none" w:sz="0" w:space="0" w:color="auto"/>
        <w:left w:val="none" w:sz="0" w:space="0" w:color="auto"/>
        <w:bottom w:val="none" w:sz="0" w:space="0" w:color="auto"/>
        <w:right w:val="none" w:sz="0" w:space="0" w:color="auto"/>
      </w:divBdr>
    </w:div>
    <w:div w:id="849181424">
      <w:bodyDiv w:val="1"/>
      <w:marLeft w:val="0"/>
      <w:marRight w:val="0"/>
      <w:marTop w:val="0"/>
      <w:marBottom w:val="0"/>
      <w:divBdr>
        <w:top w:val="none" w:sz="0" w:space="0" w:color="auto"/>
        <w:left w:val="none" w:sz="0" w:space="0" w:color="auto"/>
        <w:bottom w:val="none" w:sz="0" w:space="0" w:color="auto"/>
        <w:right w:val="none" w:sz="0" w:space="0" w:color="auto"/>
      </w:divBdr>
    </w:div>
    <w:div w:id="879056109">
      <w:bodyDiv w:val="1"/>
      <w:marLeft w:val="0"/>
      <w:marRight w:val="0"/>
      <w:marTop w:val="0"/>
      <w:marBottom w:val="0"/>
      <w:divBdr>
        <w:top w:val="none" w:sz="0" w:space="0" w:color="auto"/>
        <w:left w:val="none" w:sz="0" w:space="0" w:color="auto"/>
        <w:bottom w:val="none" w:sz="0" w:space="0" w:color="auto"/>
        <w:right w:val="none" w:sz="0" w:space="0" w:color="auto"/>
      </w:divBdr>
    </w:div>
    <w:div w:id="894388192">
      <w:bodyDiv w:val="1"/>
      <w:marLeft w:val="0"/>
      <w:marRight w:val="0"/>
      <w:marTop w:val="0"/>
      <w:marBottom w:val="0"/>
      <w:divBdr>
        <w:top w:val="none" w:sz="0" w:space="0" w:color="auto"/>
        <w:left w:val="none" w:sz="0" w:space="0" w:color="auto"/>
        <w:bottom w:val="none" w:sz="0" w:space="0" w:color="auto"/>
        <w:right w:val="none" w:sz="0" w:space="0" w:color="auto"/>
      </w:divBdr>
    </w:div>
    <w:div w:id="970744685">
      <w:bodyDiv w:val="1"/>
      <w:marLeft w:val="0"/>
      <w:marRight w:val="0"/>
      <w:marTop w:val="0"/>
      <w:marBottom w:val="0"/>
      <w:divBdr>
        <w:top w:val="none" w:sz="0" w:space="0" w:color="auto"/>
        <w:left w:val="none" w:sz="0" w:space="0" w:color="auto"/>
        <w:bottom w:val="none" w:sz="0" w:space="0" w:color="auto"/>
        <w:right w:val="none" w:sz="0" w:space="0" w:color="auto"/>
      </w:divBdr>
    </w:div>
    <w:div w:id="1341085129">
      <w:bodyDiv w:val="1"/>
      <w:marLeft w:val="0"/>
      <w:marRight w:val="0"/>
      <w:marTop w:val="0"/>
      <w:marBottom w:val="0"/>
      <w:divBdr>
        <w:top w:val="none" w:sz="0" w:space="0" w:color="auto"/>
        <w:left w:val="none" w:sz="0" w:space="0" w:color="auto"/>
        <w:bottom w:val="none" w:sz="0" w:space="0" w:color="auto"/>
        <w:right w:val="none" w:sz="0" w:space="0" w:color="auto"/>
      </w:divBdr>
    </w:div>
    <w:div w:id="1446385048">
      <w:bodyDiv w:val="1"/>
      <w:marLeft w:val="0"/>
      <w:marRight w:val="0"/>
      <w:marTop w:val="0"/>
      <w:marBottom w:val="0"/>
      <w:divBdr>
        <w:top w:val="none" w:sz="0" w:space="0" w:color="auto"/>
        <w:left w:val="none" w:sz="0" w:space="0" w:color="auto"/>
        <w:bottom w:val="none" w:sz="0" w:space="0" w:color="auto"/>
        <w:right w:val="none" w:sz="0" w:space="0" w:color="auto"/>
      </w:divBdr>
    </w:div>
    <w:div w:id="1459565417">
      <w:bodyDiv w:val="1"/>
      <w:marLeft w:val="0"/>
      <w:marRight w:val="0"/>
      <w:marTop w:val="0"/>
      <w:marBottom w:val="0"/>
      <w:divBdr>
        <w:top w:val="none" w:sz="0" w:space="0" w:color="auto"/>
        <w:left w:val="none" w:sz="0" w:space="0" w:color="auto"/>
        <w:bottom w:val="none" w:sz="0" w:space="0" w:color="auto"/>
        <w:right w:val="none" w:sz="0" w:space="0" w:color="auto"/>
      </w:divBdr>
    </w:div>
    <w:div w:id="1470854237">
      <w:bodyDiv w:val="1"/>
      <w:marLeft w:val="0"/>
      <w:marRight w:val="0"/>
      <w:marTop w:val="0"/>
      <w:marBottom w:val="0"/>
      <w:divBdr>
        <w:top w:val="none" w:sz="0" w:space="0" w:color="auto"/>
        <w:left w:val="none" w:sz="0" w:space="0" w:color="auto"/>
        <w:bottom w:val="none" w:sz="0" w:space="0" w:color="auto"/>
        <w:right w:val="none" w:sz="0" w:space="0" w:color="auto"/>
      </w:divBdr>
    </w:div>
    <w:div w:id="1661083877">
      <w:bodyDiv w:val="1"/>
      <w:marLeft w:val="0"/>
      <w:marRight w:val="0"/>
      <w:marTop w:val="0"/>
      <w:marBottom w:val="0"/>
      <w:divBdr>
        <w:top w:val="none" w:sz="0" w:space="0" w:color="auto"/>
        <w:left w:val="none" w:sz="0" w:space="0" w:color="auto"/>
        <w:bottom w:val="none" w:sz="0" w:space="0" w:color="auto"/>
        <w:right w:val="none" w:sz="0" w:space="0" w:color="auto"/>
      </w:divBdr>
    </w:div>
    <w:div w:id="1688946966">
      <w:bodyDiv w:val="1"/>
      <w:marLeft w:val="0"/>
      <w:marRight w:val="0"/>
      <w:marTop w:val="0"/>
      <w:marBottom w:val="0"/>
      <w:divBdr>
        <w:top w:val="none" w:sz="0" w:space="0" w:color="auto"/>
        <w:left w:val="none" w:sz="0" w:space="0" w:color="auto"/>
        <w:bottom w:val="none" w:sz="0" w:space="0" w:color="auto"/>
        <w:right w:val="none" w:sz="0" w:space="0" w:color="auto"/>
      </w:divBdr>
    </w:div>
    <w:div w:id="1804351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87ADD"/>
    <w:rsid w:val="000A4922"/>
    <w:rsid w:val="0056186B"/>
    <w:rsid w:val="00644C75"/>
    <w:rsid w:val="00723B02"/>
    <w:rsid w:val="00897026"/>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http://purl.org/dc/terms/"/>
    <ds:schemaRef ds:uri="http://www.w3.org/XML/1998/namespace"/>
    <ds:schemaRef ds:uri="http://schemas.microsoft.com/sharepoint/v3/fields"/>
    <ds:schemaRef ds:uri="1929b814-5a78-4bdc-9841-d8b9ef424f65"/>
    <ds:schemaRef ds:uri="http://schemas.microsoft.com/office/infopath/2007/PartnerControls"/>
    <ds:schemaRef ds:uri="a41a97bf-0494-41d8-ba3d-259bd7771890"/>
    <ds:schemaRef ds:uri="http://purl.org/dc/elements/1.1/"/>
    <ds:schemaRef ds:uri="08927195-b699-4be0-9ee2-6c66dc215b5a"/>
    <ds:schemaRef ds:uri="http://schemas.openxmlformats.org/package/2006/metadata/core-properties"/>
    <ds:schemaRef ds:uri="http://schemas.microsoft.com/office/2006/documentManagement/types"/>
    <ds:schemaRef ds:uri="http://purl.org/dc/dcmitype/"/>
    <ds:schemaRef ds:uri="http://schemas.microsoft.com/office/2006/metadata/properties"/>
    <ds:schemaRef ds:uri="30c666ed-fe46-43d6-bf30-6de2567680e6"/>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7B4884BD-45E9-4192-81E8-23F4676D2A77}"/>
</file>

<file path=docProps/app.xml><?xml version="1.0" encoding="utf-8"?>
<Properties xmlns="http://schemas.openxmlformats.org/officeDocument/2006/extended-properties" xmlns:vt="http://schemas.openxmlformats.org/officeDocument/2006/docPropsVTypes">
  <Template>Eurolook</Template>
  <TotalTime>8</TotalTime>
  <Pages>6</Pages>
  <Words>1816</Words>
  <Characters>10354</Characters>
  <Application>Microsoft Office Word</Application>
  <DocSecurity>0</DocSecurity>
  <PresentationFormat>Microsoft Word 14.0</PresentationFormat>
  <Lines>86</Lines>
  <Paragraphs>24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9</cp:revision>
  <dcterms:created xsi:type="dcterms:W3CDTF">2025-03-25T11:06:00Z</dcterms:created>
  <dcterms:modified xsi:type="dcterms:W3CDTF">2025-03-27T16:25:00Z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